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7C9" w:rsidRDefault="008807C9" w:rsidP="008807C9">
      <w:pPr>
        <w:tabs>
          <w:tab w:val="left" w:pos="993"/>
        </w:tabs>
        <w:spacing w:before="240"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ind w:firstLine="77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 </w:t>
      </w:r>
      <w:r>
        <w:rPr>
          <w:rFonts w:ascii="Times New Roman" w:hAnsi="Times New Roman"/>
          <w:sz w:val="28"/>
          <w:szCs w:val="28"/>
          <w:lang w:val="ru-RU"/>
        </w:rPr>
        <w:t xml:space="preserve">ПРАКТИЧЕСКАЯ </w:t>
      </w:r>
      <w:r>
        <w:rPr>
          <w:rFonts w:ascii="Times New Roman" w:hAnsi="Times New Roman"/>
          <w:sz w:val="28"/>
          <w:szCs w:val="28"/>
          <w:lang w:val="ru-RU"/>
        </w:rPr>
        <w:t>РАБОТА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ИССЛЕДОВАНИЕ НАГРЕВАНИЯ КАТУШЕК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ЭЛЕКТРИЧЕСКИХ АППАРАТОВ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Pr="00A82F0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A82F09">
        <w:rPr>
          <w:rFonts w:ascii="Times New Roman" w:hAnsi="Times New Roman"/>
          <w:sz w:val="28"/>
          <w:szCs w:val="28"/>
          <w:lang w:val="ru-RU"/>
        </w:rPr>
        <w:t>4.1 Цель работы: Определить изменение температуры перегрева катушки в зависимости от времени методом сопротивления. Определить температуру перегрева катушки в разных слоях с помощью термопар.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807C9" w:rsidRPr="00E36D52" w:rsidRDefault="008807C9" w:rsidP="008807C9">
      <w:pPr>
        <w:pStyle w:val="a4"/>
        <w:ind w:firstLine="728"/>
        <w:jc w:val="both"/>
        <w:rPr>
          <w:sz w:val="28"/>
          <w:szCs w:val="28"/>
        </w:rPr>
      </w:pPr>
      <w:r w:rsidRPr="00E36D52">
        <w:rPr>
          <w:sz w:val="28"/>
          <w:szCs w:val="28"/>
        </w:rPr>
        <w:t>4.2 Краткие теоретические сведения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Катушки электрических аппаратов представляют собой неоднородное тело, состоящее из проводника, изоляции, прослоек воздуха или пропитывающего материала (лак, компаунд). Катушки любого исполнения и типа обладают активным сопротивлением, что является причиной появления потерь электроэнергии при прохождении по катушкам электрического тока. Потери электроэнергии, преобразовываясь в теплоту, приводят к нагреву катушек. Теплота, выделяемая во всем объеме катушки, проходит через материалы с разной теплопроводностью, поэтому температура в разных слоях катушки различна. Внутри катушки температура больше, чем на поверхности.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Наиболее нагретый участок в катушках постоянного тока расположен ближе к той поверхности, теплопередача с которой хуже. В катушках переменного тока с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магнитопроводом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наибольшая температура может быть на внутренней поверхности катушки, так как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тоже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нагрет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потерями в стали.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Основной теплоотдающей поверхностью является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наружная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, с которой охлаждение происходит главным образом за счет естественной конвекции. Отдача теплоты с внутренней поверхности осуществляется за счет теплопроводности и в значительной степени зависит от конструкции катушек (каркасные, бескаркасные, на гильзе, на сердечнике). Торцовые поверхности катушки обычно закрыты изоляционными крепежными деталями с низкой теплопроводностью.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Процесс нагревания катушки во времени неравномерный. В начальные моменты времени после включения катушки в сеть количество выделенной теплоты превышает количество теплоты, отдаваемой в окружающую среду, что приводит к увеличению температуры катушки. Чем больше температура катушки, тем интенсивнее она охлаждается. При определенной температуре нагрева наступает равновесие между выделяющейся теплотой и теплотой, отдаваемой в окружающую среду, т. е. наступает установившийся режим нагревания.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Закон изменения превышения температуры катушки во времени описывается уравнением экспоненты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6979"/>
        <w:gridCol w:w="1491"/>
      </w:tblGrid>
      <w:tr w:rsidR="008807C9" w:rsidRPr="00627606" w:rsidTr="003565AB">
        <w:tc>
          <w:tcPr>
            <w:tcW w:w="7231" w:type="dxa"/>
            <w:shd w:val="clear" w:color="auto" w:fill="auto"/>
          </w:tcPr>
          <w:p w:rsidR="008807C9" w:rsidRPr="00627606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82F09">
              <w:rPr>
                <w:rFonts w:ascii="Times New Roman" w:hAnsi="Times New Roman"/>
                <w:position w:val="-10"/>
                <w:sz w:val="28"/>
                <w:szCs w:val="28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 o:ole="">
                  <v:imagedata r:id="rId6" o:title=""/>
                </v:shape>
                <o:OLEObject Type="Embed" ProgID="Equation.3" ShapeID="_x0000_i1025" DrawAspect="Content" ObjectID="_1631446693" r:id="rId7"/>
              </w:objec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τ=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уст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den>
                      </m:f>
                    </m:sup>
                  </m:sSup>
                </m:e>
              </m:d>
            </m:oMath>
          </w:p>
        </w:tc>
        <w:tc>
          <w:tcPr>
            <w:tcW w:w="1523" w:type="dxa"/>
            <w:shd w:val="clear" w:color="auto" w:fill="auto"/>
            <w:vAlign w:val="center"/>
          </w:tcPr>
          <w:p w:rsidR="008807C9" w:rsidRPr="00627606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τ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установившееся превышение температуры, °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;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t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время нагревания катушки,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T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постоянная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времени нагрева катушки, с.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Если пренебречь теплоотдачей с внутренней поверхности катушки, то установившееся превышение температуры катушки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8807C9" w:rsidRPr="00627606" w:rsidTr="003565AB">
        <w:tc>
          <w:tcPr>
            <w:tcW w:w="7512" w:type="dxa"/>
            <w:shd w:val="clear" w:color="auto" w:fill="auto"/>
            <w:vAlign w:val="center"/>
          </w:tcPr>
          <w:p w:rsidR="008807C9" w:rsidRPr="008807C9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уст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уст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н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8807C9" w:rsidRPr="00627606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.2)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температура катушки в установившемся режиме, °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температура окружающе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й-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среды, °С;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P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мощность, выделяющаяся в катушке, Вт;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S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н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наружная поверхность охлаждения катушки, м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7606">
        <w:rPr>
          <w:rFonts w:ascii="Times New Roman" w:hAnsi="Times New Roman"/>
          <w:i/>
          <w:sz w:val="28"/>
          <w:szCs w:val="28"/>
          <w:lang w:val="ru-RU"/>
        </w:rPr>
        <w:t>k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коэффициент теплопередачи, Вт/(м</w:t>
      </w:r>
      <w:proofErr w:type="gramStart"/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·К).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Температура катушки в установившемся режиме не должна превышать допустимую температуру, величина которой зависит от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нагревостойкости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изоляции катушки. Допустимая температура нагрева нормируется ГОСТ 8865—70 для изоляционных материалов и приведена ниже</w:t>
      </w:r>
      <w:r>
        <w:rPr>
          <w:rFonts w:ascii="Times New Roman" w:hAnsi="Times New Roman"/>
          <w:sz w:val="28"/>
          <w:szCs w:val="28"/>
          <w:lang w:val="ru-RU"/>
        </w:rPr>
        <w:t xml:space="preserve"> в таблице 1.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1- </w:t>
      </w:r>
      <w:r w:rsidRPr="00627606">
        <w:rPr>
          <w:rFonts w:ascii="Times New Roman" w:hAnsi="Times New Roman"/>
          <w:sz w:val="28"/>
          <w:szCs w:val="28"/>
          <w:lang w:val="ru-RU"/>
        </w:rPr>
        <w:t>Допустимая температура нагрева  изоляционных материалов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96"/>
        <w:gridCol w:w="636"/>
        <w:gridCol w:w="636"/>
        <w:gridCol w:w="636"/>
        <w:gridCol w:w="636"/>
        <w:gridCol w:w="636"/>
        <w:gridCol w:w="1481"/>
      </w:tblGrid>
      <w:tr w:rsidR="008807C9" w:rsidRPr="00627606" w:rsidTr="003565AB">
        <w:trPr>
          <w:jc w:val="center"/>
        </w:trPr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Класс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нагревостойкости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</w:p>
        </w:tc>
      </w:tr>
      <w:tr w:rsidR="008807C9" w:rsidRPr="00627606" w:rsidTr="003565AB">
        <w:trPr>
          <w:jc w:val="center"/>
        </w:trPr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Допустимая температура нагрева, °</w:t>
            </w:r>
            <w:proofErr w:type="gram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Свыше 180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Постоянная времени нагрева характеризует скорость возрастания температуры катушки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8807C9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8807C9" w:rsidRPr="008807C9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cG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8807C9" w:rsidRPr="00627606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.3)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</w:rPr>
        <w:t>c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— удельная теплоемкость материала проводника,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Дж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/(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кг·К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G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масса материала проводника,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кг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27606">
        <w:rPr>
          <w:rFonts w:ascii="Times New Roman" w:hAnsi="Times New Roman"/>
          <w:i/>
          <w:sz w:val="28"/>
          <w:szCs w:val="28"/>
        </w:rPr>
        <w:t>S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поверхность охлаждения, м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Чем больше постоянная времени нагрева, тем медленнее нагревается катушка. Графически постоянная времени нагрева определяется как абсцисса точки пересечения касательной к кривой нагревания в ее начальной точке с прямой, соответствующей установившейся температуре (отрезок АВ на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>рис</w:t>
      </w:r>
      <w:r>
        <w:rPr>
          <w:rFonts w:ascii="Times New Roman" w:hAnsi="Times New Roman"/>
          <w:sz w:val="28"/>
          <w:szCs w:val="28"/>
          <w:lang w:val="ru-RU"/>
        </w:rPr>
        <w:t xml:space="preserve">унке </w:t>
      </w:r>
      <w:r w:rsidRPr="00627606">
        <w:rPr>
          <w:rFonts w:ascii="Times New Roman" w:hAnsi="Times New Roman"/>
          <w:sz w:val="28"/>
          <w:szCs w:val="28"/>
          <w:lang w:val="ru-RU"/>
        </w:rPr>
        <w:t>1). За это время катушка может нагреться до установившейся температуры, если нет теплопередачи в окружающую среду. В действительности за время, равное постоянной времени нагрева, превышение температуры катушки составляет 0,632τ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. Как правило, температуру катушки можно считать установившейся через время, в 3—5 раз большее, чем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постоянная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времени нагрева.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295650" cy="2181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Рисунок 1 — Кривая нагревания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Температуру катушки можно измерить методом сопротивления и методом термопары. 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  <w:lang w:val="ru-RU"/>
        </w:rPr>
      </w:pPr>
      <w:r w:rsidRPr="00E13194">
        <w:rPr>
          <w:rFonts w:ascii="Times New Roman" w:hAnsi="Times New Roman"/>
          <w:sz w:val="28"/>
          <w:szCs w:val="28"/>
          <w:lang w:val="ru-RU"/>
        </w:rPr>
        <w:t>Методом сопротивления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превышение температуры катушки определяется по изменению ее активного сопротивления в процессе нагревания в соответствии с ГОСТ 2933—83: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8807C9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8807C9" w:rsidRPr="008807C9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τ=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sub>
                        </m:sSub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ох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ох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ог</m:t>
                    </m:r>
                  </m:sub>
                </m:sSub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8807C9" w:rsidRPr="00627606" w:rsidRDefault="008807C9" w:rsidP="006623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.4)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spellStart"/>
      <w:proofErr w:type="gramStart"/>
      <w:r w:rsidRPr="00627606">
        <w:rPr>
          <w:rFonts w:ascii="Times New Roman" w:hAnsi="Times New Roman"/>
          <w:i/>
          <w:sz w:val="28"/>
          <w:szCs w:val="28"/>
          <w:lang w:val="ru-RU"/>
        </w:rPr>
        <w:t>R</w:t>
      </w:r>
      <w:proofErr w:type="gramEnd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г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27606">
        <w:rPr>
          <w:rFonts w:ascii="Times New Roman" w:hAnsi="Times New Roman"/>
          <w:i/>
          <w:sz w:val="28"/>
          <w:szCs w:val="28"/>
          <w:lang w:val="ru-RU"/>
        </w:rPr>
        <w:t>R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х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сопротивление нагретой и холодной катушек, Ом;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K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величина, обратная температурному коэффициенту сопротивления (для медной проволоки </w:t>
      </w:r>
      <w:r w:rsidRPr="00627606">
        <w:rPr>
          <w:rFonts w:ascii="Times New Roman" w:hAnsi="Times New Roman"/>
          <w:i/>
          <w:sz w:val="28"/>
          <w:szCs w:val="28"/>
        </w:rPr>
        <w:t>K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= 235, для алюминиевой </w:t>
      </w:r>
      <w:r w:rsidRPr="00627606">
        <w:rPr>
          <w:rFonts w:ascii="Times New Roman" w:hAnsi="Times New Roman"/>
          <w:i/>
          <w:sz w:val="28"/>
          <w:szCs w:val="28"/>
        </w:rPr>
        <w:t>K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=245); 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proofErr w:type="gram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ох</w:t>
      </w:r>
      <w:proofErr w:type="spellEnd"/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ог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температура окружающей среды при измерении сопротивления холодной и нагретой катушек, °С.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Если температура окружающей среды в процессе выполнения лабораторной работы не изменяется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ох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=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proofErr w:type="gramStart"/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ог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=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</w:t>
      </w:r>
      <w:proofErr w:type="spellEnd"/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, то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8807C9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8807C9" w:rsidRPr="008807C9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τ=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sub>
                        </m:sSub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8807C9" w:rsidRPr="00627606" w:rsidRDefault="008807C9" w:rsidP="006623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.5)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Методом сопротивления определяется средняя температура перегрева катушки.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Сопротивление катушки можно измерить мостом постоянного тока или определить с помощью вольтметра и амперметра.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E13194">
        <w:rPr>
          <w:rFonts w:ascii="Times New Roman" w:hAnsi="Times New Roman"/>
          <w:sz w:val="28"/>
          <w:szCs w:val="28"/>
          <w:lang w:val="ru-RU"/>
        </w:rPr>
        <w:lastRenderedPageBreak/>
        <w:t>Методом термопары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можно определить температуру катушки в различных слоях. Для этого при изготовлении катушки термопары нужно заложить внутрь нее. Термопара представляет собой два разнородных проводника, спаянных у рабочего конца, который нагревается. На другом конце термопары при этом наводится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термо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-ЭДС, которую можно измерить милливольтметром. После изготовления термопары ее градуируют, т. е. определяют значение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термо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-ЭДС при определенной температуре. 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унке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2 приведена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градуировочная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кривая для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медьконстантановой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термопары.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867025" cy="2714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Рисунок 2 —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Градуировочная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кривая термопары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807C9" w:rsidRPr="00E13194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E13194">
        <w:rPr>
          <w:rFonts w:ascii="Times New Roman" w:hAnsi="Times New Roman"/>
          <w:sz w:val="28"/>
          <w:szCs w:val="28"/>
          <w:lang w:val="ru-RU"/>
        </w:rPr>
        <w:t>4.3 Контрольные вопросы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нагреваются катушки электрических аппаратов?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Объясните характер изменения температуры при нагревании катушек.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Каков физический смысл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постоянной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 времени нагрева?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Чему равна температура перегрева катушки через время, в два раза большее, чем постоянная времени нагрева, если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τ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=60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°С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Какими способами можно определить температуру катушки?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температура катушки неодинакова в разных ее слоях?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изменяется сопротивление катушки при нагревании?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изменяется мощность, потребляемая катушкой постоянного напряжения при нагревании?</w:t>
      </w:r>
    </w:p>
    <w:p w:rsidR="008807C9" w:rsidRPr="00E13194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E13194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E13194">
        <w:rPr>
          <w:rFonts w:ascii="Times New Roman" w:hAnsi="Times New Roman"/>
          <w:sz w:val="28"/>
          <w:szCs w:val="28"/>
          <w:lang w:val="ru-RU"/>
        </w:rPr>
        <w:t>4.4 Последовательность выполнения работы</w:t>
      </w:r>
    </w:p>
    <w:p w:rsidR="008807C9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4.4.1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ab/>
      </w:r>
      <w:r w:rsidRPr="00627606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знакомиться с установкой для проведения лабораторной работы и с обмоточными данными катушек. Установка содержит катушку электрического аппарата, вовнутрь которой заложено четыре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медьконстантановых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термопары. Выводы термопар подсоединены к галетному переключателю.</w:t>
      </w:r>
    </w:p>
    <w:p w:rsidR="008807C9" w:rsidRPr="00627606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4.4.2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С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обрать схему (рис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3). Выяснить назначение каждого элемента, записать данные измерительных приборов и температуру окружающей среды.</w:t>
      </w:r>
    </w:p>
    <w:p w:rsidR="008807C9" w:rsidRPr="00627606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4.4.3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И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сследовать процесс нагревания катушки во времени. Для этого установить заданное напряжение на катушке и через равные промежутки времени замерять ток, протекающий по катушке, и определять ее сопротивление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U</m:t>
                </m:r>
              </m:e>
              <m:sub>
                <w:proofErr w:type="gramStart"/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к</m:t>
                </m:r>
                <w:proofErr w:type="gramEnd"/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к</m:t>
                </m:r>
              </m:sub>
            </m:sSub>
          </m:den>
        </m:f>
      </m:oMath>
      <w:r w:rsidRPr="00627606">
        <w:rPr>
          <w:rFonts w:ascii="Times New Roman" w:hAnsi="Times New Roman"/>
          <w:sz w:val="28"/>
          <w:szCs w:val="28"/>
          <w:lang w:val="ru-RU"/>
        </w:rPr>
        <w:t>. Результаты замеров и вычислений записать в табл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ица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8807C9" w:rsidRPr="00627606" w:rsidRDefault="008807C9" w:rsidP="008807C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C9" w:rsidRDefault="008807C9" w:rsidP="008807C9">
      <w:pPr>
        <w:pStyle w:val="a3"/>
        <w:tabs>
          <w:tab w:val="left" w:pos="993"/>
        </w:tabs>
        <w:spacing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Рисунок 3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27606">
        <w:rPr>
          <w:rFonts w:ascii="Times New Roman" w:hAnsi="Times New Roman"/>
          <w:sz w:val="28"/>
          <w:szCs w:val="28"/>
          <w:lang w:val="ru-RU"/>
        </w:rPr>
        <w:t>Схема для исследования нагревания катушки</w:t>
      </w:r>
    </w:p>
    <w:p w:rsidR="008807C9" w:rsidRDefault="008807C9" w:rsidP="008807C9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7B3122">
        <w:rPr>
          <w:rFonts w:ascii="Times New Roman" w:hAnsi="Times New Roman"/>
          <w:sz w:val="28"/>
          <w:szCs w:val="28"/>
          <w:lang w:val="ru-RU"/>
        </w:rPr>
        <w:t>1, 2, 3, 4</w:t>
      </w: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термопары; </w:t>
      </w:r>
      <w:r w:rsidRPr="00627606">
        <w:rPr>
          <w:rFonts w:ascii="Times New Roman" w:hAnsi="Times New Roman"/>
          <w:i/>
          <w:sz w:val="28"/>
          <w:szCs w:val="28"/>
        </w:rPr>
        <w:t>SN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-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двухполюсный четырехпозиционный переключатель</w:t>
      </w:r>
    </w:p>
    <w:p w:rsidR="008807C9" w:rsidRPr="00627606" w:rsidRDefault="008807C9" w:rsidP="008807C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Во время опыта напряжение на катушке нужно поддерживать </w:t>
      </w:r>
      <w:proofErr w:type="gramStart"/>
      <w:r w:rsidRPr="00627606">
        <w:rPr>
          <w:rFonts w:ascii="Times New Roman" w:hAnsi="Times New Roman"/>
          <w:sz w:val="28"/>
          <w:szCs w:val="28"/>
          <w:lang w:val="ru-RU"/>
        </w:rPr>
        <w:t>неизменным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. Превышение температуры катушки над температурой окружающей среды определять по формуле (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627606">
        <w:rPr>
          <w:rFonts w:ascii="Times New Roman" w:hAnsi="Times New Roman"/>
          <w:sz w:val="28"/>
          <w:szCs w:val="28"/>
          <w:lang w:val="ru-RU"/>
        </w:rPr>
        <w:t>.5).</w:t>
      </w:r>
    </w:p>
    <w:p w:rsidR="008807C9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4.4.4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о результатам табл</w:t>
      </w:r>
      <w:r>
        <w:rPr>
          <w:rFonts w:ascii="Times New Roman" w:hAnsi="Times New Roman"/>
          <w:sz w:val="28"/>
          <w:szCs w:val="28"/>
          <w:lang w:val="ru-RU"/>
        </w:rPr>
        <w:t>ица 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построить график </w:t>
      </w:r>
      <m:oMath>
        <m:r>
          <w:rPr>
            <w:rFonts w:ascii="Cambria Math" w:hAnsi="Cambria Math"/>
            <w:sz w:val="28"/>
            <w:szCs w:val="28"/>
            <w:lang w:val="ru-RU"/>
          </w:rPr>
          <m:t>τ=f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t</m:t>
            </m:r>
          </m:e>
        </m:d>
      </m:oMath>
      <w:r w:rsidRPr="00627606">
        <w:rPr>
          <w:rFonts w:ascii="Times New Roman" w:hAnsi="Times New Roman"/>
          <w:sz w:val="28"/>
          <w:szCs w:val="28"/>
          <w:lang w:val="ru-RU"/>
        </w:rPr>
        <w:t xml:space="preserve"> при неизменном напряжении на катушке и графически определить постоянную времени нагрева катушки.</w:t>
      </w:r>
    </w:p>
    <w:p w:rsidR="008807C9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2 -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Style w:val="a7"/>
        <w:tblW w:w="9633" w:type="dxa"/>
        <w:tblLook w:val="04A0" w:firstRow="1" w:lastRow="0" w:firstColumn="1" w:lastColumn="0" w:noHBand="0" w:noVBand="1"/>
      </w:tblPr>
      <w:tblGrid>
        <w:gridCol w:w="1556"/>
        <w:gridCol w:w="669"/>
        <w:gridCol w:w="669"/>
        <w:gridCol w:w="671"/>
        <w:gridCol w:w="671"/>
        <w:gridCol w:w="670"/>
        <w:gridCol w:w="670"/>
        <w:gridCol w:w="670"/>
        <w:gridCol w:w="670"/>
        <w:gridCol w:w="670"/>
        <w:gridCol w:w="670"/>
        <w:gridCol w:w="706"/>
        <w:gridCol w:w="671"/>
      </w:tblGrid>
      <w:tr w:rsidR="008807C9" w:rsidTr="008807C9">
        <w:tc>
          <w:tcPr>
            <w:tcW w:w="1555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Время нагревания катушки, мин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674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674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60</w:t>
            </w:r>
          </w:p>
        </w:tc>
      </w:tr>
      <w:tr w:rsidR="008807C9" w:rsidTr="008807C9">
        <w:tc>
          <w:tcPr>
            <w:tcW w:w="1555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I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к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мА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44,5</w:t>
            </w: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</w:tr>
      <w:tr w:rsidR="008807C9" w:rsidTr="008807C9">
        <w:tc>
          <w:tcPr>
            <w:tcW w:w="1555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R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к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Ом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807C9" w:rsidTr="008807C9">
        <w:tc>
          <w:tcPr>
            <w:tcW w:w="1555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τ, °С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807C9" w:rsidRDefault="008807C9" w:rsidP="008807C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4.4.5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О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 xml:space="preserve">пределить температуру перегрева во внутренних слоях катушки через заданное время. Для этого милливольтметром замерить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термо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-ЭДС в каждом положении галетного переключателя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SN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. По значению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термо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-ЭДС 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градуировочной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кривой (рис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2) определить температуру. Результаты записать в табл</w:t>
      </w:r>
      <w:r>
        <w:rPr>
          <w:rFonts w:ascii="Times New Roman" w:hAnsi="Times New Roman"/>
          <w:sz w:val="28"/>
          <w:szCs w:val="28"/>
          <w:lang w:val="ru-RU"/>
        </w:rPr>
        <w:t>ицу 3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Таблица 3 -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1542"/>
        <w:gridCol w:w="1542"/>
        <w:gridCol w:w="1542"/>
        <w:gridCol w:w="1543"/>
      </w:tblGrid>
      <w:tr w:rsidR="008807C9" w:rsidRPr="00627606" w:rsidTr="003565AB"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Номер термопары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43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8807C9" w:rsidRPr="00627606" w:rsidTr="003565AB"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Термо</w:t>
            </w:r>
            <w:proofErr w:type="spellEnd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-ЭДС, мВ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0,5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2,5</w:t>
            </w:r>
          </w:p>
        </w:tc>
        <w:tc>
          <w:tcPr>
            <w:tcW w:w="1543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8807C9" w:rsidRPr="00627606" w:rsidTr="003565AB"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Температура перегрева, °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807C9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4.4.6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о данным табл</w:t>
      </w:r>
      <w:r>
        <w:rPr>
          <w:rFonts w:ascii="Times New Roman" w:hAnsi="Times New Roman"/>
          <w:sz w:val="28"/>
          <w:szCs w:val="28"/>
          <w:lang w:val="ru-RU"/>
        </w:rPr>
        <w:t>ицы 3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построить график изменения температуры по толщине намотки катушки. При построении графика считать, что термопары расположены на одинаковом расстоянии друг от друга.</w:t>
      </w:r>
    </w:p>
    <w:p w:rsidR="008807C9" w:rsidRPr="00627606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4.4.7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27606">
        <w:rPr>
          <w:rFonts w:ascii="Times New Roman" w:hAnsi="Times New Roman"/>
          <w:sz w:val="28"/>
          <w:szCs w:val="28"/>
          <w:lang w:val="ru-RU"/>
        </w:rPr>
        <w:t>роанализировать полученные результаты и сделать выводы по выполненной работе.</w:t>
      </w:r>
    </w:p>
    <w:p w:rsidR="00237846" w:rsidRPr="008807C9" w:rsidRDefault="00237846">
      <w:pPr>
        <w:rPr>
          <w:lang w:val="ru-RU"/>
        </w:rPr>
      </w:pPr>
    </w:p>
    <w:sectPr w:rsidR="00237846" w:rsidRPr="0088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7EA2"/>
    <w:multiLevelType w:val="hybridMultilevel"/>
    <w:tmpl w:val="00B80B28"/>
    <w:lvl w:ilvl="0" w:tplc="A6E4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E6626">
      <w:start w:val="1"/>
      <w:numFmt w:val="decimal"/>
      <w:lvlText w:val="%2."/>
      <w:lvlJc w:val="left"/>
      <w:pPr>
        <w:ind w:left="21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C9"/>
    <w:rsid w:val="00237846"/>
    <w:rsid w:val="00662330"/>
    <w:rsid w:val="008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C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C9"/>
    <w:pPr>
      <w:ind w:left="720"/>
      <w:contextualSpacing/>
    </w:pPr>
  </w:style>
  <w:style w:type="paragraph" w:customStyle="1" w:styleId="a4">
    <w:name w:val="Отступ"/>
    <w:basedOn w:val="a"/>
    <w:rsid w:val="008807C9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7C9"/>
    <w:rPr>
      <w:rFonts w:ascii="Tahoma" w:eastAsia="Calibri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88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C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C9"/>
    <w:pPr>
      <w:ind w:left="720"/>
      <w:contextualSpacing/>
    </w:pPr>
  </w:style>
  <w:style w:type="paragraph" w:customStyle="1" w:styleId="a4">
    <w:name w:val="Отступ"/>
    <w:basedOn w:val="a"/>
    <w:rsid w:val="008807C9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7C9"/>
    <w:rPr>
      <w:rFonts w:ascii="Tahoma" w:eastAsia="Calibri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88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2019-10-01T08:41:00Z</dcterms:created>
  <dcterms:modified xsi:type="dcterms:W3CDTF">2019-10-01T08:52:00Z</dcterms:modified>
</cp:coreProperties>
</file>